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ind w:right="-6" w:firstLine="284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9D5CD8">
            <w:pPr>
              <w:widowControl w:val="0"/>
              <w:autoSpaceDE w:val="0"/>
              <w:spacing w:line="254" w:lineRule="auto"/>
              <w:jc w:val="center"/>
              <w:rPr>
                <w:b/>
                <w:color w:val="000000"/>
                <w:sz w:val="28"/>
                <w:szCs w:val="20"/>
              </w:rPr>
            </w:pPr>
            <w:r>
              <w:rPr>
                <w:b/>
                <w:color w:val="000000"/>
                <w:sz w:val="28"/>
                <w:szCs w:val="20"/>
              </w:rPr>
              <w:t>«Социальные и спортивные педагогические технологии</w:t>
            </w:r>
            <w:r w:rsidR="00F316F9">
              <w:rPr>
                <w:b/>
                <w:color w:val="000000"/>
                <w:sz w:val="28"/>
                <w:szCs w:val="20"/>
              </w:rPr>
              <w:t>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ind w:firstLine="720"/>
        <w:rPr>
          <w:sz w:val="20"/>
          <w:szCs w:val="20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F316F9" w:rsidP="00447160">
      <w:r>
        <w:rPr>
          <w:b/>
          <w:bCs/>
          <w:sz w:val="28"/>
          <w:szCs w:val="28"/>
        </w:rPr>
        <w:t xml:space="preserve">Составитель </w:t>
      </w:r>
      <w:r w:rsidRPr="00356E35">
        <w:rPr>
          <w:b/>
          <w:bCs/>
          <w:sz w:val="28"/>
          <w:szCs w:val="28"/>
        </w:rPr>
        <w:t xml:space="preserve">- </w:t>
      </w:r>
      <w:r w:rsidR="00C51C22">
        <w:rPr>
          <w:sz w:val="28"/>
          <w:szCs w:val="28"/>
        </w:rPr>
        <w:t xml:space="preserve"> </w:t>
      </w:r>
      <w:r w:rsidR="00111B93">
        <w:rPr>
          <w:sz w:val="28"/>
          <w:szCs w:val="28"/>
        </w:rPr>
        <w:t>кандидат педагогичес</w:t>
      </w:r>
      <w:r w:rsidR="009D5CD8">
        <w:rPr>
          <w:sz w:val="28"/>
          <w:szCs w:val="28"/>
        </w:rPr>
        <w:t>ких наук, доцент Айвазова Е.С.</w:t>
      </w:r>
    </w:p>
    <w:p w:rsidR="00A55B2F" w:rsidRDefault="00A55B2F">
      <w:pPr>
        <w:widowControl w:val="0"/>
        <w:autoSpaceDE w:val="0"/>
        <w:ind w:firstLine="72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color w:val="000000"/>
          <w:sz w:val="28"/>
          <w:szCs w:val="28"/>
        </w:rPr>
      </w:pPr>
    </w:p>
    <w:p w:rsidR="00A55B2F" w:rsidRDefault="00F316F9">
      <w:pPr>
        <w:jc w:val="center"/>
      </w:pPr>
      <w:r>
        <w:rPr>
          <w:b/>
          <w:bCs/>
          <w:color w:val="000000"/>
          <w:sz w:val="28"/>
          <w:szCs w:val="28"/>
        </w:rPr>
        <w:t>Методические указания</w:t>
      </w:r>
      <w:r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и задания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контрольной работе</w:t>
      </w:r>
    </w:p>
    <w:p w:rsidR="00A55B2F" w:rsidRDefault="00F316F9">
      <w:pPr>
        <w:jc w:val="center"/>
      </w:pPr>
      <w:r>
        <w:rPr>
          <w:bCs/>
          <w:color w:val="000000"/>
          <w:sz w:val="28"/>
          <w:szCs w:val="28"/>
        </w:rPr>
        <w:t xml:space="preserve">по дисциплине </w:t>
      </w:r>
      <w:r>
        <w:rPr>
          <w:b/>
          <w:bCs/>
          <w:color w:val="000000"/>
          <w:sz w:val="28"/>
          <w:szCs w:val="28"/>
        </w:rPr>
        <w:t>«</w:t>
      </w:r>
      <w:r w:rsidR="005D54DC">
        <w:rPr>
          <w:b/>
          <w:bCs/>
          <w:color w:val="000000"/>
          <w:sz w:val="28"/>
          <w:szCs w:val="28"/>
        </w:rPr>
        <w:t>Педагогическое мастерство тренера</w:t>
      </w:r>
    </w:p>
    <w:p w:rsidR="00A55B2F" w:rsidRDefault="00F316F9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студентов заочной формы обучения </w:t>
      </w: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A55B2F">
      <w:pPr>
        <w:widowControl w:val="0"/>
        <w:autoSpaceDE w:val="0"/>
        <w:jc w:val="center"/>
        <w:rPr>
          <w:color w:val="000000"/>
          <w:sz w:val="28"/>
          <w:szCs w:val="28"/>
        </w:rPr>
      </w:pPr>
    </w:p>
    <w:p w:rsidR="00A55B2F" w:rsidRDefault="00F316F9">
      <w:pPr>
        <w:widowControl w:val="0"/>
        <w:autoSpaceDE w:val="0"/>
        <w:jc w:val="center"/>
      </w:pPr>
      <w:r>
        <w:rPr>
          <w:color w:val="000000"/>
          <w:sz w:val="28"/>
          <w:szCs w:val="28"/>
        </w:rPr>
        <w:t xml:space="preserve">Направление подготовки </w:t>
      </w:r>
      <w:r w:rsidR="009D5CD8">
        <w:rPr>
          <w:color w:val="000000"/>
          <w:sz w:val="28"/>
          <w:szCs w:val="28"/>
        </w:rPr>
        <w:t>44.04.04 Профессиональное обучение (по отраслям) профиль «Подготовка специалистов по работе со спортсменами на этапе вы</w:t>
      </w:r>
      <w:r w:rsidR="009D5CD8">
        <w:rPr>
          <w:color w:val="000000"/>
          <w:sz w:val="28"/>
          <w:szCs w:val="28"/>
        </w:rPr>
        <w:t>с</w:t>
      </w:r>
      <w:r w:rsidR="009D5CD8">
        <w:rPr>
          <w:color w:val="000000"/>
          <w:sz w:val="28"/>
          <w:szCs w:val="28"/>
        </w:rPr>
        <w:t>шего спортивного мастерства»</w:t>
      </w:r>
      <w:r>
        <w:rPr>
          <w:color w:val="000000"/>
          <w:sz w:val="28"/>
          <w:szCs w:val="28"/>
        </w:rPr>
        <w:t xml:space="preserve"> </w:t>
      </w: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>
      <w:pPr>
        <w:widowControl w:val="0"/>
        <w:autoSpaceDE w:val="0"/>
        <w:ind w:firstLine="720"/>
        <w:jc w:val="center"/>
        <w:rPr>
          <w:rFonts w:ascii="Arial" w:hAnsi="Arial" w:cs="Arial"/>
          <w:sz w:val="28"/>
          <w:szCs w:val="28"/>
        </w:rPr>
      </w:pPr>
    </w:p>
    <w:p w:rsidR="00A55B2F" w:rsidRDefault="00A55B2F" w:rsidP="00414347">
      <w:pPr>
        <w:widowControl w:val="0"/>
        <w:autoSpaceDE w:val="0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A55B2F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613A39" w:rsidRDefault="00613A39">
      <w:pPr>
        <w:widowControl w:val="0"/>
        <w:autoSpaceDE w:val="0"/>
        <w:jc w:val="center"/>
        <w:rPr>
          <w:rFonts w:ascii="Arial" w:hAnsi="Arial" w:cs="Arial"/>
          <w:sz w:val="10"/>
          <w:szCs w:val="10"/>
        </w:rPr>
      </w:pPr>
    </w:p>
    <w:p w:rsidR="00A55B2F" w:rsidRDefault="00F316F9" w:rsidP="00356E35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г. Ростов-на-Дону</w:t>
      </w:r>
    </w:p>
    <w:p w:rsidR="00A55B2F" w:rsidRDefault="009D5CD8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2025-2026</w:t>
      </w:r>
      <w:r w:rsidR="00267F0B">
        <w:rPr>
          <w:bCs/>
          <w:sz w:val="28"/>
          <w:szCs w:val="28"/>
        </w:rPr>
        <w:t xml:space="preserve"> уч.</w:t>
      </w:r>
      <w:r w:rsidR="00F316F9">
        <w:rPr>
          <w:bCs/>
          <w:sz w:val="28"/>
          <w:szCs w:val="28"/>
        </w:rPr>
        <w:t xml:space="preserve"> г.</w:t>
      </w: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0C37D4" w:rsidRDefault="000C37D4">
      <w:pPr>
        <w:widowControl w:val="0"/>
        <w:autoSpaceDE w:val="0"/>
        <w:ind w:firstLine="720"/>
        <w:jc w:val="center"/>
        <w:rPr>
          <w:bCs/>
          <w:sz w:val="28"/>
          <w:szCs w:val="28"/>
        </w:rPr>
      </w:pPr>
    </w:p>
    <w:p w:rsidR="00A55B2F" w:rsidRDefault="00A55B2F" w:rsidP="00356E35">
      <w:pPr>
        <w:widowControl w:val="0"/>
        <w:autoSpaceDE w:val="0"/>
        <w:contextualSpacing/>
        <w:rPr>
          <w:rFonts w:ascii="Arial" w:hAnsi="Arial" w:cs="Arial"/>
          <w:sz w:val="20"/>
          <w:szCs w:val="20"/>
        </w:rPr>
      </w:pPr>
    </w:p>
    <w:p w:rsidR="00A55B2F" w:rsidRDefault="00F316F9" w:rsidP="00267F0B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выполнения контрольных работ</w:t>
      </w:r>
    </w:p>
    <w:p w:rsidR="00A55B2F" w:rsidRDefault="00F316F9" w:rsidP="00267F0B">
      <w:pPr>
        <w:contextualSpacing/>
      </w:pPr>
      <w:r>
        <w:rPr>
          <w:b/>
          <w:sz w:val="28"/>
          <w:szCs w:val="28"/>
        </w:rPr>
        <w:t xml:space="preserve">по направлению </w:t>
      </w:r>
      <w:r>
        <w:rPr>
          <w:color w:val="000000"/>
          <w:sz w:val="28"/>
          <w:szCs w:val="28"/>
        </w:rPr>
        <w:t xml:space="preserve">подготовки </w:t>
      </w:r>
      <w:r w:rsidR="00267F0B" w:rsidRPr="00267F0B">
        <w:rPr>
          <w:color w:val="000000"/>
          <w:sz w:val="28"/>
          <w:szCs w:val="28"/>
        </w:rPr>
        <w:t>44.04.04 Профессиональное обучение (по отра</w:t>
      </w:r>
      <w:r w:rsidR="00267F0B" w:rsidRPr="00267F0B">
        <w:rPr>
          <w:color w:val="000000"/>
          <w:sz w:val="28"/>
          <w:szCs w:val="28"/>
        </w:rPr>
        <w:t>с</w:t>
      </w:r>
      <w:r w:rsidR="00267F0B" w:rsidRPr="00267F0B">
        <w:rPr>
          <w:color w:val="000000"/>
          <w:sz w:val="28"/>
          <w:szCs w:val="28"/>
        </w:rPr>
        <w:t>лям)</w:t>
      </w:r>
    </w:p>
    <w:p w:rsidR="00A55B2F" w:rsidRDefault="00A55B2F" w:rsidP="00356E35">
      <w:pPr>
        <w:contextualSpacing/>
        <w:jc w:val="center"/>
        <w:rPr>
          <w:b/>
          <w:sz w:val="20"/>
          <w:szCs w:val="20"/>
        </w:rPr>
      </w:pPr>
    </w:p>
    <w:p w:rsidR="00A55B2F" w:rsidRDefault="00F316F9" w:rsidP="00267F0B">
      <w:pPr>
        <w:contextualSpacing/>
        <w:rPr>
          <w:sz w:val="28"/>
          <w:szCs w:val="28"/>
        </w:rPr>
      </w:pPr>
      <w:r>
        <w:rPr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267F0B">
      <w:pPr>
        <w:pStyle w:val="a3"/>
        <w:numPr>
          <w:ilvl w:val="0"/>
          <w:numId w:val="2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proofErr w:type="gramStart"/>
      <w:r w:rsidRPr="00447160">
        <w:rPr>
          <w:rFonts w:ascii="Times New Roman" w:hAnsi="Times New Roman"/>
          <w:sz w:val="28"/>
          <w:szCs w:val="28"/>
        </w:rPr>
        <w:t>из предложенного списка (Список 1:</w:t>
      </w:r>
      <w:proofErr w:type="gramEnd"/>
      <w:r w:rsidRPr="004471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7160">
        <w:rPr>
          <w:rFonts w:ascii="Times New Roman" w:hAnsi="Times New Roman"/>
          <w:sz w:val="28"/>
          <w:szCs w:val="28"/>
        </w:rPr>
        <w:t xml:space="preserve">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  <w:proofErr w:type="gramEnd"/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8257CC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из предложенного списка</w:t>
      </w:r>
      <w:r w:rsidR="00F316F9" w:rsidRPr="00447160">
        <w:rPr>
          <w:rFonts w:ascii="Times New Roman" w:hAnsi="Times New Roman"/>
          <w:sz w:val="28"/>
          <w:szCs w:val="28"/>
        </w:rPr>
        <w:t>;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>выбранных учебно-научных источников. Учебно-научная работа в рамках вы</w:t>
      </w:r>
      <w:r w:rsidR="008257CC">
        <w:rPr>
          <w:rFonts w:ascii="Times New Roman" w:hAnsi="Times New Roman"/>
          <w:sz w:val="28"/>
          <w:szCs w:val="28"/>
        </w:rPr>
        <w:t>бранных задачных установок</w:t>
      </w:r>
      <w:r w:rsidRPr="00447160">
        <w:rPr>
          <w:rFonts w:ascii="Times New Roman" w:hAnsi="Times New Roman"/>
          <w:sz w:val="28"/>
          <w:szCs w:val="28"/>
        </w:rPr>
        <w:t>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cs="Arial"/>
          <w:b/>
          <w:bCs/>
          <w:iCs/>
          <w:sz w:val="28"/>
        </w:rPr>
      </w:pPr>
      <w:r>
        <w:rPr>
          <w:rFonts w:cs="Arial"/>
          <w:b/>
          <w:bCs/>
          <w:iCs/>
          <w:sz w:val="28"/>
        </w:rPr>
        <w:lastRenderedPageBreak/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cs="Arial"/>
          <w:bCs/>
          <w:iCs/>
          <w:sz w:val="28"/>
        </w:rPr>
      </w:pPr>
      <w:r>
        <w:rPr>
          <w:rFonts w:cs="Arial"/>
          <w:bCs/>
          <w:iCs/>
          <w:sz w:val="28"/>
        </w:rPr>
        <w:t>Темы контрольных работ по учебной дисциплине</w:t>
      </w:r>
    </w:p>
    <w:p w:rsidR="00111B93" w:rsidRDefault="008257CC" w:rsidP="00111B93">
      <w:pPr>
        <w:jc w:val="center"/>
      </w:pPr>
      <w:r>
        <w:rPr>
          <w:b/>
          <w:bCs/>
          <w:color w:val="000000"/>
          <w:sz w:val="28"/>
          <w:szCs w:val="28"/>
        </w:rPr>
        <w:t>«Научные исследования и проектная деятельность в образовании</w:t>
      </w:r>
      <w:r w:rsidR="00111B93">
        <w:rPr>
          <w:b/>
          <w:bCs/>
          <w:color w:val="000000"/>
          <w:sz w:val="28"/>
          <w:szCs w:val="28"/>
        </w:rPr>
        <w:t>»</w:t>
      </w:r>
    </w:p>
    <w:p w:rsidR="003F3191" w:rsidRDefault="003F3191" w:rsidP="003F3191">
      <w:pPr>
        <w:jc w:val="center"/>
      </w:pPr>
    </w:p>
    <w:p w:rsidR="00267F0B" w:rsidRDefault="00267F0B">
      <w:pPr>
        <w:tabs>
          <w:tab w:val="left" w:pos="1134"/>
        </w:tabs>
        <w:ind w:left="1134" w:right="-57" w:hanging="567"/>
        <w:jc w:val="center"/>
      </w:pPr>
    </w:p>
    <w:p w:rsidR="00A55B2F" w:rsidRDefault="00F316F9" w:rsidP="00044E52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</w:t>
      </w:r>
      <w:r w:rsidR="00F316F9">
        <w:rPr>
          <w:b/>
          <w:bCs/>
          <w:iCs/>
          <w:sz w:val="28"/>
          <w:szCs w:val="28"/>
        </w:rPr>
        <w:t>Подготовка контрольной работы.</w:t>
      </w:r>
    </w:p>
    <w:p w:rsidR="008257CC" w:rsidRPr="008257CC" w:rsidRDefault="008257CC" w:rsidP="008257CC">
      <w:pPr>
        <w:jc w:val="both"/>
        <w:rPr>
          <w:b/>
          <w:sz w:val="28"/>
          <w:szCs w:val="28"/>
        </w:rPr>
      </w:pPr>
      <w:r w:rsidRPr="008257CC">
        <w:rPr>
          <w:b/>
          <w:sz w:val="28"/>
          <w:szCs w:val="28"/>
        </w:rPr>
        <w:t>Задание 1. Подготовка реферативного обзора учебной и научной литерат</w:t>
      </w:r>
      <w:r w:rsidRPr="008257CC">
        <w:rPr>
          <w:b/>
          <w:sz w:val="28"/>
          <w:szCs w:val="28"/>
        </w:rPr>
        <w:t>у</w:t>
      </w:r>
      <w:r w:rsidRPr="008257CC">
        <w:rPr>
          <w:b/>
          <w:sz w:val="28"/>
          <w:szCs w:val="28"/>
        </w:rPr>
        <w:t>ры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Цель задания углубленное изучение одной из конкретных проблем иссл</w:t>
      </w:r>
      <w:r w:rsidRPr="008257CC">
        <w:rPr>
          <w:sz w:val="28"/>
          <w:szCs w:val="28"/>
        </w:rPr>
        <w:t>е</w:t>
      </w:r>
      <w:r w:rsidRPr="008257CC">
        <w:rPr>
          <w:sz w:val="28"/>
          <w:szCs w:val="28"/>
        </w:rPr>
        <w:t>дова</w:t>
      </w:r>
      <w:r>
        <w:rPr>
          <w:sz w:val="28"/>
          <w:szCs w:val="28"/>
        </w:rPr>
        <w:t xml:space="preserve">ния, </w:t>
      </w:r>
      <w:r w:rsidRPr="008257CC">
        <w:rPr>
          <w:sz w:val="28"/>
          <w:szCs w:val="28"/>
        </w:rPr>
        <w:t>овладение навыками самостоятельной работы с научной литературой, выработка умения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анализировать и обобщать теоретический материал, </w:t>
      </w:r>
      <w:proofErr w:type="spellStart"/>
      <w:r w:rsidRPr="008257CC">
        <w:rPr>
          <w:sz w:val="28"/>
          <w:szCs w:val="28"/>
        </w:rPr>
        <w:t>примнять</w:t>
      </w:r>
      <w:proofErr w:type="spellEnd"/>
      <w:r w:rsidRPr="008257CC">
        <w:rPr>
          <w:sz w:val="28"/>
          <w:szCs w:val="28"/>
        </w:rPr>
        <w:t xml:space="preserve"> полученные знания на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практике.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предварительных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работ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непосредственном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написании</w:t>
      </w:r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 xml:space="preserve">реферативного обзора литературы </w:t>
      </w:r>
      <w:proofErr w:type="gramStart"/>
      <w:r w:rsidRPr="008257CC">
        <w:rPr>
          <w:sz w:val="28"/>
          <w:szCs w:val="28"/>
        </w:rPr>
        <w:t>обучающийся</w:t>
      </w:r>
      <w:proofErr w:type="gramEnd"/>
      <w:r w:rsidRPr="008257CC">
        <w:rPr>
          <w:sz w:val="28"/>
          <w:szCs w:val="28"/>
        </w:rPr>
        <w:t xml:space="preserve"> должен: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изучить основную литературу по курсу, найти и использовать в рефер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те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необходимые материалы в соответствии с выбранной темой;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полно и логически последовательно изложить материал по выбранной теме,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раскрыть основные понятия;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дать практические рекомендации по использованию в практике делового общения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тех или иных теоретических положений;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- сформулировать и изложить свое личное отношение к проблемам, затр</w:t>
      </w:r>
      <w:r w:rsidRPr="008257CC">
        <w:rPr>
          <w:sz w:val="28"/>
          <w:szCs w:val="28"/>
        </w:rPr>
        <w:t>а</w:t>
      </w:r>
      <w:r w:rsidRPr="008257CC">
        <w:rPr>
          <w:sz w:val="28"/>
          <w:szCs w:val="28"/>
        </w:rPr>
        <w:t>гиваемым 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реферате.</w:t>
      </w:r>
    </w:p>
    <w:p w:rsidR="008257CC" w:rsidRPr="008257CC" w:rsidRDefault="008257CC" w:rsidP="008257CC">
      <w:pPr>
        <w:ind w:firstLine="709"/>
        <w:rPr>
          <w:sz w:val="28"/>
          <w:szCs w:val="28"/>
        </w:rPr>
      </w:pPr>
      <w:r w:rsidRPr="008257CC">
        <w:rPr>
          <w:sz w:val="28"/>
          <w:szCs w:val="28"/>
        </w:rPr>
        <w:t>В написании реферативного обзора следует выделить три этапа: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Подготовительный. Начинается с выбора темы, близкой интересам об</w:t>
      </w:r>
      <w:r w:rsidRPr="008257CC">
        <w:rPr>
          <w:sz w:val="28"/>
          <w:szCs w:val="28"/>
        </w:rPr>
        <w:t>у</w:t>
      </w:r>
      <w:r w:rsidRPr="008257CC">
        <w:rPr>
          <w:sz w:val="28"/>
          <w:szCs w:val="28"/>
        </w:rPr>
        <w:t>чающегося,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плана,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подбора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источников,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в</w:t>
      </w:r>
      <w:proofErr w:type="gramEnd"/>
    </w:p>
    <w:p w:rsidR="008257CC" w:rsidRPr="008257CC" w:rsidRDefault="008257CC" w:rsidP="008257CC">
      <w:pPr>
        <w:jc w:val="both"/>
        <w:rPr>
          <w:sz w:val="28"/>
          <w:szCs w:val="28"/>
        </w:rPr>
      </w:pPr>
      <w:r w:rsidRPr="008257CC">
        <w:rPr>
          <w:sz w:val="28"/>
          <w:szCs w:val="28"/>
        </w:rPr>
        <w:t>Библиотечных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систематических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алфавитных</w:t>
      </w:r>
      <w:r>
        <w:rPr>
          <w:sz w:val="28"/>
          <w:szCs w:val="28"/>
        </w:rPr>
        <w:t xml:space="preserve"> </w:t>
      </w:r>
      <w:proofErr w:type="gramStart"/>
      <w:r w:rsidRPr="008257CC">
        <w:rPr>
          <w:sz w:val="28"/>
          <w:szCs w:val="28"/>
        </w:rPr>
        <w:t>каталогах</w:t>
      </w:r>
      <w:proofErr w:type="gramEnd"/>
      <w:r w:rsidRPr="008257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«И</w:t>
      </w:r>
      <w:r w:rsidRPr="008257CC">
        <w:rPr>
          <w:sz w:val="28"/>
          <w:szCs w:val="28"/>
        </w:rPr>
        <w:t>н</w:t>
      </w:r>
      <w:r w:rsidRPr="008257CC">
        <w:rPr>
          <w:sz w:val="28"/>
          <w:szCs w:val="28"/>
        </w:rPr>
        <w:t>тернет».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 xml:space="preserve">использовать библиографические сноски, ссылки и указания в учебниках, монографиях </w:t>
      </w:r>
      <w:proofErr w:type="spellStart"/>
      <w:r w:rsidRPr="008257CC">
        <w:rPr>
          <w:sz w:val="28"/>
          <w:szCs w:val="28"/>
        </w:rPr>
        <w:t>идругих</w:t>
      </w:r>
      <w:proofErr w:type="spellEnd"/>
      <w:r w:rsidRPr="008257CC">
        <w:rPr>
          <w:sz w:val="28"/>
          <w:szCs w:val="28"/>
        </w:rPr>
        <w:t xml:space="preserve"> трудах по теме работы. Кроме того, в поле изучения должны войти научные</w:t>
      </w:r>
      <w:r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публикации, периодическая печать, специал</w:t>
      </w:r>
      <w:r w:rsidRPr="008257CC">
        <w:rPr>
          <w:sz w:val="28"/>
          <w:szCs w:val="28"/>
        </w:rPr>
        <w:t>ь</w:t>
      </w:r>
      <w:r w:rsidRPr="008257CC">
        <w:rPr>
          <w:sz w:val="28"/>
          <w:szCs w:val="28"/>
        </w:rPr>
        <w:t>ная литература и пр.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Исполнительный.</w:t>
      </w:r>
    </w:p>
    <w:p w:rsidR="008257CC" w:rsidRPr="008257CC" w:rsidRDefault="008257CC" w:rsidP="007F6044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Включает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изучение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литературы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по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выбранной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теме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непосредственное написание реферативного обзора. Используя различные источники,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опираясь на собственные выписки, тезисы, конспекты, необходимо систематизировать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(привести в определенный порядок, который соответствовал бы намеченному плану) и</w:t>
      </w:r>
      <w:r w:rsidR="007F6044">
        <w:rPr>
          <w:sz w:val="28"/>
          <w:szCs w:val="28"/>
        </w:rPr>
        <w:t xml:space="preserve"> </w:t>
      </w:r>
      <w:r w:rsidRPr="008257CC">
        <w:rPr>
          <w:sz w:val="28"/>
          <w:szCs w:val="28"/>
        </w:rPr>
        <w:t>обобщить материал.</w:t>
      </w:r>
    </w:p>
    <w:p w:rsidR="008257CC" w:rsidRPr="008257CC" w:rsidRDefault="008257CC" w:rsidP="008257CC">
      <w:pPr>
        <w:ind w:firstLine="709"/>
        <w:jc w:val="both"/>
        <w:rPr>
          <w:sz w:val="28"/>
          <w:szCs w:val="28"/>
        </w:rPr>
      </w:pPr>
      <w:r w:rsidRPr="008257CC">
        <w:rPr>
          <w:sz w:val="28"/>
          <w:szCs w:val="28"/>
        </w:rPr>
        <w:t>Заключительный.</w:t>
      </w:r>
    </w:p>
    <w:p w:rsidR="008257CC" w:rsidRPr="008257CC" w:rsidRDefault="007F6044" w:rsidP="007F60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257CC" w:rsidRPr="008257CC">
        <w:rPr>
          <w:sz w:val="28"/>
          <w:szCs w:val="28"/>
        </w:rPr>
        <w:t>Внимательное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вычитывание,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проверка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точности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написания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терминов и правильности построения оборотов речи. Работа должна удовлетворять</w:t>
      </w:r>
      <w:r>
        <w:rPr>
          <w:sz w:val="28"/>
          <w:szCs w:val="28"/>
        </w:rPr>
        <w:t xml:space="preserve"> </w:t>
      </w:r>
      <w:r w:rsidR="008257CC" w:rsidRPr="008257CC">
        <w:rPr>
          <w:sz w:val="28"/>
          <w:szCs w:val="28"/>
        </w:rPr>
        <w:t>треб</w:t>
      </w:r>
      <w:r w:rsidR="008257CC" w:rsidRPr="008257CC">
        <w:rPr>
          <w:sz w:val="28"/>
          <w:szCs w:val="28"/>
        </w:rPr>
        <w:t>о</w:t>
      </w:r>
      <w:r w:rsidR="008257CC" w:rsidRPr="008257CC">
        <w:rPr>
          <w:sz w:val="28"/>
          <w:szCs w:val="28"/>
        </w:rPr>
        <w:t>ваниям, предъявляемым к научным работам и требованиям культуры оформл</w:t>
      </w:r>
      <w:r w:rsidR="008257CC" w:rsidRPr="008257CC">
        <w:rPr>
          <w:sz w:val="28"/>
          <w:szCs w:val="28"/>
        </w:rPr>
        <w:t>е</w:t>
      </w:r>
      <w:r w:rsidR="008257CC" w:rsidRPr="008257CC">
        <w:rPr>
          <w:sz w:val="28"/>
          <w:szCs w:val="28"/>
        </w:rPr>
        <w:t>ния.</w:t>
      </w:r>
    </w:p>
    <w:p w:rsidR="008257CC" w:rsidRPr="007F6044" w:rsidRDefault="008257CC" w:rsidP="008257CC">
      <w:pPr>
        <w:ind w:firstLine="709"/>
        <w:jc w:val="both"/>
        <w:rPr>
          <w:b/>
          <w:sz w:val="28"/>
          <w:szCs w:val="28"/>
        </w:rPr>
      </w:pPr>
      <w:r w:rsidRPr="007F6044">
        <w:rPr>
          <w:b/>
          <w:sz w:val="28"/>
          <w:szCs w:val="28"/>
        </w:rPr>
        <w:t>Примерные темы для составления обзора литературы и источников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lastRenderedPageBreak/>
        <w:t>1.</w:t>
      </w:r>
      <w:r w:rsidRPr="005D54DC">
        <w:rPr>
          <w:sz w:val="28"/>
          <w:szCs w:val="28"/>
        </w:rPr>
        <w:tab/>
        <w:t>Цель и задачи педагогического мастерства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2.</w:t>
      </w:r>
      <w:r w:rsidRPr="005D54DC">
        <w:rPr>
          <w:sz w:val="28"/>
          <w:szCs w:val="28"/>
        </w:rPr>
        <w:tab/>
        <w:t>Основные направления педагогического мастерства.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3.</w:t>
      </w:r>
      <w:r w:rsidRPr="005D54DC">
        <w:rPr>
          <w:sz w:val="28"/>
          <w:szCs w:val="28"/>
        </w:rPr>
        <w:tab/>
        <w:t>Взаимосвязь педагогического мастерства с другими предметами.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4.</w:t>
      </w:r>
      <w:r w:rsidRPr="005D54DC">
        <w:rPr>
          <w:sz w:val="28"/>
          <w:szCs w:val="28"/>
        </w:rPr>
        <w:tab/>
        <w:t>Современный тренер в педагогической системе.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5.</w:t>
      </w:r>
      <w:r w:rsidRPr="005D54DC">
        <w:rPr>
          <w:sz w:val="28"/>
          <w:szCs w:val="28"/>
        </w:rPr>
        <w:tab/>
        <w:t>Требование к деятельности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6.</w:t>
      </w:r>
      <w:r w:rsidRPr="005D54DC">
        <w:rPr>
          <w:sz w:val="28"/>
          <w:szCs w:val="28"/>
        </w:rPr>
        <w:tab/>
        <w:t>Функции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7.</w:t>
      </w:r>
      <w:r w:rsidRPr="005D54DC">
        <w:rPr>
          <w:sz w:val="28"/>
          <w:szCs w:val="28"/>
        </w:rPr>
        <w:tab/>
        <w:t>Личностные качества и авторитет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8.</w:t>
      </w:r>
      <w:r w:rsidRPr="005D54DC">
        <w:rPr>
          <w:sz w:val="28"/>
          <w:szCs w:val="28"/>
        </w:rPr>
        <w:tab/>
        <w:t>Педагогические способности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9.</w:t>
      </w:r>
      <w:r w:rsidRPr="005D54DC">
        <w:rPr>
          <w:sz w:val="28"/>
          <w:szCs w:val="28"/>
        </w:rPr>
        <w:tab/>
        <w:t>Виды педагогических способностей.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10.</w:t>
      </w:r>
      <w:r w:rsidRPr="005D54DC">
        <w:rPr>
          <w:sz w:val="28"/>
          <w:szCs w:val="28"/>
        </w:rPr>
        <w:tab/>
        <w:t>Управление воспитанием юного спортсмена.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11.</w:t>
      </w:r>
      <w:r w:rsidRPr="005D54DC">
        <w:rPr>
          <w:sz w:val="28"/>
          <w:szCs w:val="28"/>
        </w:rPr>
        <w:tab/>
        <w:t>Чувства и педагогическая этика и такт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12.</w:t>
      </w:r>
      <w:r w:rsidRPr="005D54DC">
        <w:rPr>
          <w:sz w:val="28"/>
          <w:szCs w:val="28"/>
        </w:rPr>
        <w:tab/>
        <w:t>Структура учебно-тренировочного процесса.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13.</w:t>
      </w:r>
      <w:r w:rsidRPr="005D54DC">
        <w:rPr>
          <w:sz w:val="28"/>
          <w:szCs w:val="28"/>
        </w:rPr>
        <w:tab/>
        <w:t>Использование дидактических принципов и методов обучения.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14.</w:t>
      </w:r>
      <w:r w:rsidRPr="005D54DC">
        <w:rPr>
          <w:sz w:val="28"/>
          <w:szCs w:val="28"/>
        </w:rPr>
        <w:tab/>
        <w:t>Психологические аспекты деятельности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15.</w:t>
      </w:r>
      <w:r w:rsidRPr="005D54DC">
        <w:rPr>
          <w:sz w:val="28"/>
          <w:szCs w:val="28"/>
        </w:rPr>
        <w:tab/>
        <w:t>Психологический анализ процессов воспитания и обучения.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16.</w:t>
      </w:r>
      <w:r w:rsidRPr="005D54DC">
        <w:rPr>
          <w:sz w:val="28"/>
          <w:szCs w:val="28"/>
        </w:rPr>
        <w:tab/>
        <w:t>Психологическая подготовка юных спортсменов.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17.</w:t>
      </w:r>
      <w:r w:rsidRPr="005D54DC">
        <w:rPr>
          <w:sz w:val="28"/>
          <w:szCs w:val="28"/>
        </w:rPr>
        <w:tab/>
        <w:t>Индивидуальный подход в обучении и воспитании.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18.</w:t>
      </w:r>
      <w:r w:rsidRPr="005D54DC">
        <w:rPr>
          <w:sz w:val="28"/>
          <w:szCs w:val="28"/>
        </w:rPr>
        <w:tab/>
        <w:t>Развитие спортивной активности у подростков с учетом их индив</w:t>
      </w:r>
      <w:r w:rsidRPr="005D54DC">
        <w:rPr>
          <w:sz w:val="28"/>
          <w:szCs w:val="28"/>
        </w:rPr>
        <w:t>и</w:t>
      </w:r>
      <w:r w:rsidRPr="005D54DC">
        <w:rPr>
          <w:sz w:val="28"/>
          <w:szCs w:val="28"/>
        </w:rPr>
        <w:t>дуальности.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19.</w:t>
      </w:r>
      <w:r w:rsidRPr="005D54DC">
        <w:rPr>
          <w:sz w:val="28"/>
          <w:szCs w:val="28"/>
        </w:rPr>
        <w:tab/>
        <w:t>Планирование тренерской работы.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  <w:r w:rsidRPr="005D54DC">
        <w:rPr>
          <w:sz w:val="28"/>
          <w:szCs w:val="28"/>
        </w:rPr>
        <w:t>20.</w:t>
      </w:r>
      <w:r w:rsidRPr="005D54DC">
        <w:rPr>
          <w:sz w:val="28"/>
          <w:szCs w:val="28"/>
        </w:rPr>
        <w:tab/>
        <w:t>Научная организация труда тренера.</w:t>
      </w:r>
    </w:p>
    <w:p w:rsidR="005D54DC" w:rsidRPr="005D54DC" w:rsidRDefault="005D54DC" w:rsidP="005D54DC">
      <w:pPr>
        <w:ind w:firstLine="709"/>
        <w:jc w:val="both"/>
        <w:rPr>
          <w:sz w:val="28"/>
          <w:szCs w:val="28"/>
        </w:rPr>
      </w:pPr>
    </w:p>
    <w:p w:rsidR="008257CC" w:rsidRPr="008257CC" w:rsidRDefault="008257CC" w:rsidP="005D54DC">
      <w:pPr>
        <w:jc w:val="both"/>
        <w:rPr>
          <w:sz w:val="28"/>
          <w:szCs w:val="28"/>
        </w:rPr>
      </w:pPr>
    </w:p>
    <w:p w:rsidR="008257CC" w:rsidRDefault="008257CC" w:rsidP="007F6044">
      <w:pPr>
        <w:jc w:val="both"/>
        <w:rPr>
          <w:sz w:val="28"/>
          <w:szCs w:val="28"/>
        </w:rPr>
      </w:pPr>
    </w:p>
    <w:p w:rsidR="002D7403" w:rsidRDefault="007F6044" w:rsidP="00356E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D7403" w:rsidRPr="002D7403">
        <w:rPr>
          <w:b/>
          <w:sz w:val="28"/>
          <w:szCs w:val="28"/>
        </w:rPr>
        <w:t>Практическая часть</w:t>
      </w:r>
    </w:p>
    <w:p w:rsidR="005D54DC" w:rsidRDefault="005D54DC" w:rsidP="00356E35">
      <w:pPr>
        <w:rPr>
          <w:b/>
          <w:sz w:val="28"/>
          <w:szCs w:val="28"/>
        </w:rPr>
      </w:pPr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>Задание 1. Охарактеризуйте объяснительно-иллюстративный и репродукти</w:t>
      </w:r>
      <w:r w:rsidRPr="005D54DC">
        <w:rPr>
          <w:sz w:val="28"/>
          <w:szCs w:val="28"/>
        </w:rPr>
        <w:t>в</w:t>
      </w:r>
      <w:r w:rsidRPr="005D54DC">
        <w:rPr>
          <w:sz w:val="28"/>
          <w:szCs w:val="28"/>
        </w:rPr>
        <w:t>ный методы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обучения и приведите пример из деятельности тренера.</w:t>
      </w:r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>Назовите психические состояния тренера.</w:t>
      </w:r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>Метод убеждения: характеристика, примеры, приемы этого метода.</w:t>
      </w:r>
    </w:p>
    <w:p w:rsidR="005D54DC" w:rsidRDefault="005D54DC" w:rsidP="005D54DC">
      <w:pPr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Pr="005D54D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5D54DC">
        <w:rPr>
          <w:sz w:val="28"/>
          <w:szCs w:val="28"/>
        </w:rPr>
        <w:t>Охарактеризуйте частично-поисковый метод и метод проблемного изл</w:t>
      </w:r>
      <w:r w:rsidRPr="005D54DC">
        <w:rPr>
          <w:sz w:val="28"/>
          <w:szCs w:val="28"/>
        </w:rPr>
        <w:t>о</w:t>
      </w:r>
      <w:r w:rsidRPr="005D54DC">
        <w:rPr>
          <w:sz w:val="28"/>
          <w:szCs w:val="28"/>
        </w:rPr>
        <w:t>жения и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приведите пример из деятельности тренера.</w:t>
      </w:r>
    </w:p>
    <w:p w:rsidR="005D54DC" w:rsidRPr="005D54DC" w:rsidRDefault="005D54DC" w:rsidP="005D54DC">
      <w:pPr>
        <w:rPr>
          <w:sz w:val="28"/>
          <w:szCs w:val="28"/>
        </w:rPr>
      </w:pPr>
      <w:r>
        <w:rPr>
          <w:sz w:val="28"/>
          <w:szCs w:val="28"/>
        </w:rPr>
        <w:t xml:space="preserve">Задание 3.  </w:t>
      </w:r>
      <w:r w:rsidRPr="005D54DC">
        <w:rPr>
          <w:sz w:val="28"/>
          <w:szCs w:val="28"/>
        </w:rPr>
        <w:t xml:space="preserve">Назовите уровни адаптации к реальным условиям </w:t>
      </w:r>
      <w:proofErr w:type="spellStart"/>
      <w:r w:rsidRPr="005D54DC">
        <w:rPr>
          <w:sz w:val="28"/>
          <w:szCs w:val="28"/>
        </w:rPr>
        <w:t>пед</w:t>
      </w:r>
      <w:proofErr w:type="gramStart"/>
      <w:r w:rsidRPr="005D54DC">
        <w:rPr>
          <w:sz w:val="28"/>
          <w:szCs w:val="28"/>
        </w:rPr>
        <w:t>.п</w:t>
      </w:r>
      <w:proofErr w:type="gramEnd"/>
      <w:r w:rsidRPr="005D54DC">
        <w:rPr>
          <w:sz w:val="28"/>
          <w:szCs w:val="28"/>
        </w:rPr>
        <w:t>роцесса</w:t>
      </w:r>
      <w:proofErr w:type="spellEnd"/>
      <w:r w:rsidRPr="005D54DC">
        <w:rPr>
          <w:sz w:val="28"/>
          <w:szCs w:val="28"/>
        </w:rPr>
        <w:t>, х</w:t>
      </w:r>
      <w:r w:rsidRPr="005D54DC">
        <w:rPr>
          <w:sz w:val="28"/>
          <w:szCs w:val="28"/>
        </w:rPr>
        <w:t>а</w:t>
      </w:r>
      <w:r w:rsidRPr="005D54DC">
        <w:rPr>
          <w:sz w:val="28"/>
          <w:szCs w:val="28"/>
        </w:rPr>
        <w:t>рактерные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для тренеров.</w:t>
      </w:r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>Метод организации поведения: характеристика, приемы, примеры.</w:t>
      </w:r>
    </w:p>
    <w:p w:rsidR="005D54DC" w:rsidRPr="005D54DC" w:rsidRDefault="005D54DC" w:rsidP="005D54DC">
      <w:pPr>
        <w:rPr>
          <w:sz w:val="28"/>
          <w:szCs w:val="28"/>
        </w:rPr>
      </w:pPr>
      <w:r>
        <w:rPr>
          <w:sz w:val="28"/>
          <w:szCs w:val="28"/>
        </w:rPr>
        <w:t xml:space="preserve">Задание 4. </w:t>
      </w:r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 xml:space="preserve">Охарактеризуйте исследовательский метод обучения и приведите пример </w:t>
      </w:r>
      <w:proofErr w:type="gramStart"/>
      <w:r w:rsidRPr="005D54DC">
        <w:rPr>
          <w:sz w:val="28"/>
          <w:szCs w:val="28"/>
        </w:rPr>
        <w:t>из</w:t>
      </w:r>
      <w:proofErr w:type="gramEnd"/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>деятельности тренера.</w:t>
      </w:r>
    </w:p>
    <w:p w:rsidR="005D54DC" w:rsidRPr="005D54DC" w:rsidRDefault="005D54DC" w:rsidP="005D54DC">
      <w:pPr>
        <w:rPr>
          <w:sz w:val="28"/>
          <w:szCs w:val="28"/>
        </w:rPr>
      </w:pPr>
      <w:r>
        <w:rPr>
          <w:sz w:val="28"/>
          <w:szCs w:val="28"/>
        </w:rPr>
        <w:t xml:space="preserve">Задание 5. </w:t>
      </w:r>
      <w:r w:rsidRPr="005D54DC">
        <w:rPr>
          <w:sz w:val="28"/>
          <w:szCs w:val="28"/>
        </w:rPr>
        <w:t>Назовите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психологические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успешного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руководства</w:t>
      </w:r>
      <w:r>
        <w:rPr>
          <w:sz w:val="28"/>
          <w:szCs w:val="28"/>
        </w:rPr>
        <w:t xml:space="preserve"> </w:t>
      </w:r>
      <w:r w:rsidRPr="005D54DC">
        <w:rPr>
          <w:sz w:val="28"/>
          <w:szCs w:val="28"/>
        </w:rPr>
        <w:t>учебно-</w:t>
      </w:r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>воспитательным процессом.</w:t>
      </w:r>
    </w:p>
    <w:p w:rsidR="005D54DC" w:rsidRPr="005D54DC" w:rsidRDefault="005D54DC" w:rsidP="005D54DC">
      <w:pPr>
        <w:rPr>
          <w:sz w:val="28"/>
          <w:szCs w:val="28"/>
        </w:rPr>
      </w:pPr>
      <w:r w:rsidRPr="005D54DC">
        <w:rPr>
          <w:sz w:val="28"/>
          <w:szCs w:val="28"/>
        </w:rPr>
        <w:t>Метод стимулирования поведения: характеристика, приемы, примеры.</w:t>
      </w:r>
    </w:p>
    <w:p w:rsidR="005D54DC" w:rsidRPr="005D54DC" w:rsidRDefault="005D54DC" w:rsidP="005D54DC">
      <w:pPr>
        <w:rPr>
          <w:sz w:val="28"/>
          <w:szCs w:val="28"/>
        </w:rPr>
      </w:pPr>
    </w:p>
    <w:p w:rsidR="005D54DC" w:rsidRPr="005D54DC" w:rsidRDefault="005D54DC" w:rsidP="00356E35">
      <w:pPr>
        <w:rPr>
          <w:sz w:val="28"/>
          <w:szCs w:val="28"/>
        </w:rPr>
      </w:pPr>
    </w:p>
    <w:p w:rsidR="005D54DC" w:rsidRPr="002D7403" w:rsidRDefault="005D54DC" w:rsidP="00356E35">
      <w:pPr>
        <w:rPr>
          <w:b/>
          <w:sz w:val="28"/>
          <w:szCs w:val="28"/>
        </w:rPr>
      </w:pPr>
    </w:p>
    <w:p w:rsidR="002D7403" w:rsidRDefault="002D7403" w:rsidP="00356E35">
      <w:pPr>
        <w:rPr>
          <w:b/>
          <w:sz w:val="28"/>
          <w:szCs w:val="28"/>
        </w:rPr>
      </w:pPr>
    </w:p>
    <w:p w:rsidR="008257CC" w:rsidRDefault="008257CC" w:rsidP="00356E35">
      <w:pPr>
        <w:rPr>
          <w:b/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F6044" w:rsidRDefault="007F6044" w:rsidP="007F6044">
      <w:pPr>
        <w:ind w:firstLine="709"/>
        <w:jc w:val="both"/>
        <w:rPr>
          <w:sz w:val="28"/>
          <w:szCs w:val="28"/>
        </w:rPr>
      </w:pPr>
    </w:p>
    <w:p w:rsidR="007F6044" w:rsidRDefault="007F6044" w:rsidP="007F604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Контрольная работа включает в себя две части: первая – теоретиче</w:t>
      </w:r>
      <w:r w:rsidR="005D54DC">
        <w:rPr>
          <w:sz w:val="28"/>
          <w:szCs w:val="28"/>
        </w:rPr>
        <w:t>ская часть (выбор одной темы и е</w:t>
      </w:r>
      <w:r>
        <w:rPr>
          <w:sz w:val="28"/>
          <w:szCs w:val="28"/>
        </w:rPr>
        <w:t>е детальное рассмотрение с самостоятельными умозаключениями; вторая – практическая часть, предполагающая выполнение ряда практических заданий.</w:t>
      </w:r>
      <w:proofErr w:type="gramEnd"/>
    </w:p>
    <w:p w:rsidR="00A55B2F" w:rsidRPr="007F6044" w:rsidRDefault="00F316F9" w:rsidP="007F6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Рейтинговый контроль производится в форме защиты контрольной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ты с представлением презентации ее содержания в </w:t>
      </w:r>
      <w:r>
        <w:rPr>
          <w:sz w:val="28"/>
          <w:szCs w:val="28"/>
          <w:lang w:val="en-US"/>
        </w:rPr>
        <w:t>Power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 w:rsidR="00356E35">
        <w:rPr>
          <w:sz w:val="28"/>
          <w:szCs w:val="28"/>
        </w:rPr>
        <w:t>.</w:t>
      </w:r>
      <w:r w:rsidR="00414347">
        <w:rPr>
          <w:sz w:val="28"/>
          <w:szCs w:val="28"/>
        </w:rPr>
        <w:t xml:space="preserve"> Контрольная работа предоставляется на кафедру «</w:t>
      </w:r>
      <w:r w:rsidR="002D7403">
        <w:rPr>
          <w:sz w:val="28"/>
          <w:szCs w:val="28"/>
        </w:rPr>
        <w:t>Социальные и спортивные педагогические технологии</w:t>
      </w:r>
      <w:r w:rsidR="000C37D4">
        <w:rPr>
          <w:sz w:val="28"/>
          <w:szCs w:val="28"/>
        </w:rPr>
        <w:t>» до итогового контроля</w:t>
      </w:r>
      <w:r w:rsidR="00414347">
        <w:rPr>
          <w:sz w:val="28"/>
          <w:szCs w:val="28"/>
        </w:rPr>
        <w:t xml:space="preserve"> в электронном виде.</w:t>
      </w:r>
    </w:p>
    <w:p w:rsidR="00A55B2F" w:rsidRDefault="00A55B2F">
      <w:pPr>
        <w:rPr>
          <w:b/>
          <w:sz w:val="28"/>
          <w:szCs w:val="28"/>
        </w:rPr>
      </w:pPr>
    </w:p>
    <w:p w:rsidR="00A55B2F" w:rsidRDefault="00A55B2F">
      <w:pPr>
        <w:rPr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Качество выполнения контрольной работы оценивается от 0 до 10 баллов:</w:t>
      </w:r>
    </w:p>
    <w:p w:rsidR="00A55B2F" w:rsidRDefault="00F316F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10 баллов – тема полностью раскрыта, выводы доказательны и аргументиров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ны, подкреплены литературными примерами; работа содержит анализ и обо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точников, способное в дальнейшем выступить в качестве научной гипотезы; работа соответствует почти всем требованиям, имеются правильно оформле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A55B2F" w:rsidRDefault="00F316F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8 баллов – тема в целом раскрыта, но недостаточно основательно, выводы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ческие ошибки; текст недостаточно четко структурирован и не полностью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форматирован.</w:t>
      </w:r>
      <w:proofErr w:type="gramEnd"/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 xml:space="preserve">7 баллов – тема недостаточно полно раскрыта, авторские выводы очень бедны, почти не аргументированы; почти не приводятся литературные примеры; </w:t>
      </w:r>
      <w:r>
        <w:rPr>
          <w:sz w:val="28"/>
          <w:szCs w:val="28"/>
        </w:rPr>
        <w:lastRenderedPageBreak/>
        <w:t>оформление работы имеет недочеты; не везде имеются правильно оформле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ссылки на литературные источники, присутствуют описки, орфографич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ские и грамматические ошибки; текст недостаточно четко структурирован, не полностью отформатирован.</w:t>
      </w:r>
    </w:p>
    <w:p w:rsidR="00A55B2F" w:rsidRDefault="00F316F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ваны не по теме; не приводятся литературные примеры, отражающие суть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следуемого предмета; оформление работы имеет недочеты; ссылки на литер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та; работа плохо оформлена, текст не отформатирован; ссылки на литературные источники отсутствуют; имеется значительное число орфографических и 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матических ошибок; текст не структурирован.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4 балла – тема не раскрыта, содержится информация, имеющая только косве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ное отношение к изучаемому предмету, выводы отсутствуют; не приводятся литературные примеры, отражающие суть исследуемого предмета; работа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3 балла – тема не раскрыта, содержится информация, не имеющая отношения к теме контрольной работе; авторские выводы отсутствуют; не приводятся лит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ратурные примеры, отражающие суть исследуемого предмета; работа плохо оформлена, текст</w:t>
      </w:r>
      <w:r>
        <w:rPr>
          <w:sz w:val="28"/>
          <w:szCs w:val="28"/>
        </w:rPr>
        <w:tab/>
        <w:t>не отформатирован; ссылки на литературные источники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2 балла – тема не раскрыта, преимущественно содержатся частные мнения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тора, не подкрепленные ни литературными, ни эмпирическими примерами,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воды отсутствуют, ссылки на литературные источники отсутствуют, отсутств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rPr>
          <w:sz w:val="28"/>
          <w:szCs w:val="28"/>
        </w:rPr>
      </w:pPr>
      <w:r>
        <w:rPr>
          <w:sz w:val="28"/>
          <w:szCs w:val="28"/>
        </w:rPr>
        <w:t>1 балл – тема не раскрыта, преимущественно содержатся частные мнения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ра, не подкрепленные ни литературными, ни эмпирическими примерами, выв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 отсутствуют, ссылки на литературные источники отсутствуют, отсутствует список литературы; очень малый объем реферата (1-2 страницы), текст не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форматирован, не содержит подзаголовков; имеется значительное число орф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графических и грамматических ошибок.</w:t>
      </w:r>
    </w:p>
    <w:p w:rsidR="00A55B2F" w:rsidRPr="007B26D9" w:rsidRDefault="00F316F9">
      <w:pPr>
        <w:rPr>
          <w:sz w:val="28"/>
          <w:szCs w:val="28"/>
        </w:rPr>
      </w:pPr>
      <w:r>
        <w:rPr>
          <w:sz w:val="28"/>
          <w:szCs w:val="28"/>
        </w:rPr>
        <w:t xml:space="preserve">0 баллов – отсутствие </w:t>
      </w:r>
      <w:proofErr w:type="gramStart"/>
      <w:r>
        <w:rPr>
          <w:sz w:val="28"/>
          <w:szCs w:val="28"/>
        </w:rPr>
        <w:t>выполненного</w:t>
      </w:r>
      <w:proofErr w:type="gramEnd"/>
      <w:r>
        <w:rPr>
          <w:sz w:val="28"/>
          <w:szCs w:val="28"/>
        </w:rPr>
        <w:t xml:space="preserve"> контрольной работы.</w:t>
      </w:r>
    </w:p>
    <w:p w:rsidR="00A55B2F" w:rsidRPr="007B26D9" w:rsidRDefault="00A55B2F">
      <w:pPr>
        <w:pStyle w:val="a3"/>
        <w:pageBreakBefore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55B2F" w:rsidRPr="007B26D9" w:rsidRDefault="00F316F9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7B26D9"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Pr="007B26D9" w:rsidRDefault="00F316F9">
      <w:pPr>
        <w:jc w:val="center"/>
        <w:rPr>
          <w:b/>
          <w:sz w:val="28"/>
          <w:szCs w:val="28"/>
        </w:rPr>
      </w:pPr>
      <w:r w:rsidRPr="007B26D9">
        <w:rPr>
          <w:b/>
          <w:sz w:val="28"/>
          <w:szCs w:val="28"/>
        </w:rPr>
        <w:t xml:space="preserve">СПИСОК </w:t>
      </w:r>
    </w:p>
    <w:p w:rsidR="00E016C3" w:rsidRDefault="00F316F9" w:rsidP="00E016C3">
      <w:pPr>
        <w:jc w:val="center"/>
        <w:rPr>
          <w:sz w:val="28"/>
          <w:szCs w:val="28"/>
        </w:rPr>
      </w:pPr>
      <w:r w:rsidRPr="007B26D9">
        <w:rPr>
          <w:sz w:val="28"/>
          <w:szCs w:val="28"/>
        </w:rPr>
        <w:t xml:space="preserve">информационных ресурсов </w:t>
      </w:r>
      <w:r w:rsidRPr="007B26D9">
        <w:rPr>
          <w:b/>
          <w:sz w:val="28"/>
          <w:szCs w:val="28"/>
        </w:rPr>
        <w:t xml:space="preserve">по дисциплине </w:t>
      </w:r>
      <w:r w:rsidR="006A23E7" w:rsidRPr="007B26D9">
        <w:rPr>
          <w:sz w:val="28"/>
          <w:szCs w:val="28"/>
        </w:rPr>
        <w:t xml:space="preserve"> </w:t>
      </w:r>
      <w:r w:rsidR="00111B93">
        <w:rPr>
          <w:sz w:val="28"/>
          <w:szCs w:val="28"/>
        </w:rPr>
        <w:t>«</w:t>
      </w:r>
      <w:r w:rsidR="005D54DC">
        <w:rPr>
          <w:sz w:val="28"/>
          <w:szCs w:val="28"/>
        </w:rPr>
        <w:t>Педагогическое мастерство тр</w:t>
      </w:r>
      <w:r w:rsidR="005D54DC">
        <w:rPr>
          <w:sz w:val="28"/>
          <w:szCs w:val="28"/>
        </w:rPr>
        <w:t>е</w:t>
      </w:r>
      <w:r w:rsidR="005D54DC">
        <w:rPr>
          <w:sz w:val="28"/>
          <w:szCs w:val="28"/>
        </w:rPr>
        <w:t>нера»</w:t>
      </w:r>
    </w:p>
    <w:p w:rsidR="0003742B" w:rsidRPr="00E016C3" w:rsidRDefault="0003742B" w:rsidP="00E016C3">
      <w:pPr>
        <w:jc w:val="center"/>
        <w:rPr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"/>
        <w:gridCol w:w="58"/>
        <w:gridCol w:w="1789"/>
        <w:gridCol w:w="1732"/>
        <w:gridCol w:w="1882"/>
        <w:gridCol w:w="2208"/>
        <w:gridCol w:w="426"/>
        <w:gridCol w:w="921"/>
      </w:tblGrid>
      <w:tr w:rsidR="0003742B" w:rsidRPr="0003742B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</w:p>
        </w:tc>
      </w:tr>
      <w:tr w:rsidR="0003742B" w:rsidRPr="0003742B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03742B" w:rsidRPr="0003742B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03742B" w:rsidRPr="0003742B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03742B" w:rsidRPr="0003742B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Н.В.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Кудинова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,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Физическое моделирование процесса снижения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загрязнения воздушной среды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Ростов н/Д.: Ростовский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строительный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университет, 2006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3742B" w:rsidRPr="0003742B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eastAsia="en"/>
              </w:rPr>
              <w:t>Лесняк</w:t>
            </w:r>
            <w:proofErr w:type="spellEnd"/>
            <w:r w:rsidRPr="0003742B">
              <w:rPr>
                <w:color w:val="000000"/>
                <w:sz w:val="19"/>
                <w:szCs w:val="19"/>
                <w:lang w:eastAsia="en"/>
              </w:rPr>
              <w:t>, В. В., Ткач, В.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Стратегический управленческий учет на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промышленных предприятиях: концепт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у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альный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подход, моделирование и организация: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н/Д.: РГСУ, 2005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03742B" w:rsidRPr="0003742B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Озолин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Николай</w:t>
            </w:r>
            <w:proofErr w:type="spellEnd"/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Георгиевич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Настольная книга тренера: Наука побе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ж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дать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М.: АСТ, 2003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10</w:t>
            </w:r>
          </w:p>
        </w:tc>
      </w:tr>
      <w:tr w:rsidR="0003742B" w:rsidRPr="0003742B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Педагогика физической культуры и спо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р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та: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учеб</w:t>
            </w:r>
            <w:proofErr w:type="gramStart"/>
            <w:r w:rsidRPr="0003742B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03742B">
              <w:rPr>
                <w:color w:val="000000"/>
                <w:sz w:val="19"/>
                <w:szCs w:val="19"/>
                <w:lang w:eastAsia="en"/>
              </w:rPr>
              <w:t>п</w:t>
            </w:r>
            <w:proofErr w:type="gramEnd"/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особие для студ. </w:t>
            </w:r>
            <w:proofErr w:type="spellStart"/>
            <w:r w:rsidRPr="0003742B">
              <w:rPr>
                <w:color w:val="000000"/>
                <w:sz w:val="19"/>
                <w:szCs w:val="19"/>
                <w:lang w:eastAsia="en"/>
              </w:rPr>
              <w:t>высш</w:t>
            </w:r>
            <w:proofErr w:type="spellEnd"/>
            <w:r w:rsidRPr="0003742B">
              <w:rPr>
                <w:color w:val="000000"/>
                <w:sz w:val="19"/>
                <w:szCs w:val="19"/>
                <w:lang w:eastAsia="en"/>
              </w:rPr>
              <w:t>. учеб. зав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е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дений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Академия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, 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7</w:t>
            </w:r>
          </w:p>
        </w:tc>
      </w:tr>
      <w:tr w:rsidR="0003742B" w:rsidRPr="0003742B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Л1.5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Ямалетдинова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, Г.А.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Педагогика физической культуры и спо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р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та: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Екатеринбург: Урал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ь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ский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федеральный универс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и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тет,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ЭБС АСВ,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3742B" w:rsidRPr="0003742B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03742B" w:rsidRPr="0003742B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03742B" w:rsidRPr="0003742B" w:rsidTr="003E5C7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Туманян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, Г.С.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Стратегия подготовки чемпионов: настольная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книга тренера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Советский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спорт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,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val="en" w:eastAsia="en"/>
              </w:rPr>
              <w:t>2006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3742B" w:rsidRPr="0003742B" w:rsidTr="003E5C7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Ямалетдинова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, Г.А.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Педагогика физической культуры и спо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р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та: курс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лекций: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Екатеринбург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: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Уральского</w:t>
            </w:r>
            <w:proofErr w:type="spellEnd"/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университета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>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3742B" w:rsidRPr="0003742B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03742B" w:rsidRPr="0003742B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03742B" w:rsidRPr="0003742B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Шевченко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Анастасия</w:t>
            </w:r>
            <w:proofErr w:type="spellEnd"/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val="en" w:eastAsia="en"/>
              </w:rPr>
              <w:br/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Александровна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Формирование структуры финансиров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а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ния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строительными компаниями развитых и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развивающихся стран: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Ростов н/Д.: Ростовский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строительный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университет,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3742B" w:rsidRPr="0003742B" w:rsidTr="003E5C7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Система учета, анализа и контроля в ед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и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ном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информационном пространстве: Сборник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научных статей</w:t>
            </w:r>
            <w:proofErr w:type="gramStart"/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 :</w:t>
            </w:r>
            <w:proofErr w:type="gramEnd"/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spellStart"/>
            <w:r w:rsidRPr="0003742B">
              <w:rPr>
                <w:color w:val="000000"/>
                <w:sz w:val="19"/>
                <w:szCs w:val="19"/>
                <w:lang w:eastAsia="en"/>
              </w:rPr>
              <w:t>вып</w:t>
            </w:r>
            <w:proofErr w:type="spellEnd"/>
            <w:r w:rsidRPr="0003742B">
              <w:rPr>
                <w:color w:val="000000"/>
                <w:sz w:val="19"/>
                <w:szCs w:val="19"/>
                <w:lang w:eastAsia="en"/>
              </w:rPr>
              <w:t>. 2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Ростов н/Д.: Ростовский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строительный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университет, 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16</w:t>
            </w:r>
          </w:p>
        </w:tc>
      </w:tr>
      <w:tr w:rsidR="0003742B" w:rsidRPr="0003742B" w:rsidTr="003E5C76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Л3.3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Руководство для преподавателей по орг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а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низации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университете: метод</w:t>
            </w:r>
            <w:proofErr w:type="gramStart"/>
            <w:r w:rsidRPr="0003742B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gramEnd"/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 </w:t>
            </w:r>
            <w:proofErr w:type="gramStart"/>
            <w:r w:rsidRPr="0003742B">
              <w:rPr>
                <w:color w:val="000000"/>
                <w:sz w:val="19"/>
                <w:szCs w:val="19"/>
                <w:lang w:eastAsia="en"/>
              </w:rPr>
              <w:t>у</w:t>
            </w:r>
            <w:proofErr w:type="gramEnd"/>
            <w:r w:rsidRPr="0003742B">
              <w:rPr>
                <w:color w:val="000000"/>
                <w:sz w:val="19"/>
                <w:szCs w:val="19"/>
                <w:lang w:eastAsia="en"/>
              </w:rPr>
              <w:t>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03742B">
              <w:rPr>
                <w:rFonts w:asciiTheme="minorHAnsi" w:eastAsiaTheme="minorEastAsia" w:hAnsiTheme="minorHAnsi" w:cstheme="minorBidi"/>
                <w:sz w:val="22"/>
                <w:szCs w:val="22"/>
                <w:lang w:eastAsia="en"/>
              </w:rPr>
              <w:br/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03742B" w:rsidRPr="0003742B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b/>
                <w:color w:val="000000"/>
                <w:sz w:val="19"/>
                <w:szCs w:val="19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03742B" w:rsidRPr="0003742B" w:rsidTr="003E5C76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Электронная библиотека диссертаций Российской государственной библиотеки</w:t>
            </w:r>
          </w:p>
        </w:tc>
      </w:tr>
      <w:tr w:rsidR="0003742B" w:rsidRPr="0003742B" w:rsidTr="003E5C7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>Электронно-библиотечная система НТБ ДГТУ</w:t>
            </w:r>
          </w:p>
        </w:tc>
      </w:tr>
      <w:tr w:rsidR="0003742B" w:rsidRPr="0003742B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03742B" w:rsidRPr="0003742B" w:rsidTr="003E5C76">
        <w:trPr>
          <w:trHeight w:hRule="exact" w:val="28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03742B" w:rsidRPr="0003742B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  <w:tr w:rsidR="0003742B" w:rsidRPr="0003742B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03742B">
              <w:rPr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DvcCAL</w:t>
            </w:r>
            <w:proofErr w:type="spellEnd"/>
          </w:p>
        </w:tc>
      </w:tr>
      <w:tr w:rsidR="0003742B" w:rsidRPr="0003742B" w:rsidTr="003E5C76">
        <w:trPr>
          <w:trHeight w:hRule="exact" w:val="283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line="238" w:lineRule="auto"/>
              <w:ind w:left="30" w:right="3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b/>
                <w:color w:val="000000"/>
                <w:sz w:val="19"/>
                <w:szCs w:val="19"/>
                <w:lang w:eastAsia="en"/>
              </w:rPr>
              <w:lastRenderedPageBreak/>
              <w:t>Перечень информационных справочных систем, профессиональные базы данных</w:t>
            </w:r>
          </w:p>
        </w:tc>
      </w:tr>
      <w:tr w:rsidR="0003742B" w:rsidRPr="0003742B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Научная электронная библиотека: 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elibrary</w:t>
            </w:r>
            <w:proofErr w:type="spellEnd"/>
            <w:r w:rsidRPr="0003742B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</w:p>
        </w:tc>
      </w:tr>
      <w:tr w:rsidR="0003742B" w:rsidRPr="0003742B" w:rsidTr="003E5C76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База данных полнотекстовых научных работ "Академия </w:t>
            </w:r>
            <w:r w:rsidRPr="0003742B">
              <w:rPr>
                <w:color w:val="000000"/>
                <w:sz w:val="19"/>
                <w:szCs w:val="19"/>
                <w:lang w:val="en" w:eastAsia="en"/>
              </w:rPr>
              <w:t>Google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": </w:t>
            </w:r>
            <w:r w:rsidRPr="0003742B">
              <w:rPr>
                <w:color w:val="000000"/>
                <w:sz w:val="19"/>
                <w:szCs w:val="19"/>
                <w:lang w:val="en" w:eastAsia="en"/>
              </w:rPr>
              <w:t>scholar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google</w:t>
            </w:r>
            <w:proofErr w:type="spellEnd"/>
            <w:r w:rsidRPr="0003742B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</w:p>
        </w:tc>
      </w:tr>
      <w:tr w:rsidR="0003742B" w:rsidRPr="0003742B" w:rsidTr="003E5C76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03742B">
              <w:rPr>
                <w:color w:val="000000"/>
                <w:sz w:val="19"/>
                <w:szCs w:val="19"/>
                <w:lang w:val="en" w:eastAsia="en"/>
              </w:rPr>
              <w:t>6.3.2.3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3742B" w:rsidRPr="0003742B" w:rsidRDefault="0003742B" w:rsidP="0003742B">
            <w:pPr>
              <w:spacing w:before="15" w:after="15" w:line="238" w:lineRule="auto"/>
              <w:ind w:left="30" w:right="30"/>
              <w:rPr>
                <w:rFonts w:asciiTheme="minorHAnsi" w:eastAsiaTheme="minorEastAsia" w:hAnsiTheme="minorHAnsi" w:cstheme="minorBidi"/>
                <w:sz w:val="19"/>
                <w:szCs w:val="19"/>
                <w:lang w:eastAsia="en"/>
              </w:rPr>
            </w:pPr>
            <w:r w:rsidRPr="0003742B">
              <w:rPr>
                <w:color w:val="000000"/>
                <w:sz w:val="19"/>
                <w:szCs w:val="19"/>
                <w:lang w:eastAsia="en"/>
              </w:rPr>
              <w:t xml:space="preserve">Консультант Плюс </w:t>
            </w:r>
            <w:r w:rsidRPr="0003742B">
              <w:rPr>
                <w:color w:val="000000"/>
                <w:sz w:val="19"/>
                <w:szCs w:val="19"/>
                <w:lang w:val="en" w:eastAsia="en"/>
              </w:rPr>
              <w:t>www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.</w:t>
            </w:r>
            <w:r w:rsidRPr="0003742B">
              <w:rPr>
                <w:color w:val="000000"/>
                <w:sz w:val="19"/>
                <w:szCs w:val="19"/>
                <w:lang w:val="en" w:eastAsia="en"/>
              </w:rPr>
              <w:t>consultant</w:t>
            </w:r>
            <w:r w:rsidRPr="0003742B">
              <w:rPr>
                <w:color w:val="000000"/>
                <w:sz w:val="19"/>
                <w:szCs w:val="19"/>
                <w:lang w:eastAsia="en"/>
              </w:rPr>
              <w:t>.</w:t>
            </w:r>
            <w:proofErr w:type="spellStart"/>
            <w:r w:rsidRPr="0003742B">
              <w:rPr>
                <w:color w:val="000000"/>
                <w:sz w:val="19"/>
                <w:szCs w:val="19"/>
                <w:lang w:val="en" w:eastAsia="en"/>
              </w:rPr>
              <w:t>ru</w:t>
            </w:r>
            <w:proofErr w:type="spellEnd"/>
          </w:p>
        </w:tc>
      </w:tr>
      <w:tr w:rsidR="0003742B" w:rsidRPr="0003742B" w:rsidTr="003E5C76">
        <w:trPr>
          <w:trHeight w:hRule="exact" w:val="284"/>
        </w:trPr>
        <w:tc>
          <w:tcPr>
            <w:tcW w:w="710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1929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1985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269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2411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  <w:tc>
          <w:tcPr>
            <w:tcW w:w="993" w:type="dxa"/>
          </w:tcPr>
          <w:p w:rsidR="0003742B" w:rsidRPr="0003742B" w:rsidRDefault="0003742B" w:rsidP="0003742B">
            <w:pPr>
              <w:spacing w:line="0" w:lineRule="auto"/>
              <w:rPr>
                <w:rFonts w:asciiTheme="minorHAnsi" w:eastAsiaTheme="minorEastAsia" w:hAnsiTheme="minorHAnsi" w:cstheme="minorBidi"/>
                <w:sz w:val="1"/>
                <w:szCs w:val="1"/>
                <w:lang w:eastAsia="en"/>
              </w:rPr>
            </w:pPr>
          </w:p>
        </w:tc>
      </w:tr>
    </w:tbl>
    <w:p w:rsidR="00A77956" w:rsidRDefault="00A77956" w:rsidP="006A23E7">
      <w:pPr>
        <w:jc w:val="center"/>
        <w:rPr>
          <w:b/>
          <w:sz w:val="28"/>
          <w:szCs w:val="28"/>
        </w:rPr>
      </w:pPr>
    </w:p>
    <w:p w:rsidR="00111B93" w:rsidRPr="00613A39" w:rsidRDefault="00111B93" w:rsidP="00111B93">
      <w:pPr>
        <w:spacing w:after="200" w:line="276" w:lineRule="auto"/>
        <w:rPr>
          <w:sz w:val="0"/>
          <w:szCs w:val="0"/>
          <w:lang w:val="en-US" w:eastAsia="en"/>
        </w:rPr>
        <w:sectPr w:rsidR="00111B93" w:rsidRPr="00613A39" w:rsidSect="008257CC">
          <w:type w:val="continuous"/>
          <w:pgSz w:w="11907" w:h="16840"/>
          <w:pgMar w:top="1134" w:right="567" w:bottom="1134" w:left="1701" w:header="530" w:footer="530" w:gutter="0"/>
          <w:cols w:space="720"/>
        </w:sectPr>
      </w:pPr>
      <w:bookmarkStart w:id="0" w:name="_GoBack"/>
      <w:bookmarkEnd w:id="0"/>
    </w:p>
    <w:p w:rsidR="00A55B2F" w:rsidRDefault="00F316F9" w:rsidP="00414347">
      <w:pPr>
        <w:jc w:val="right"/>
      </w:pPr>
      <w:r>
        <w:rPr>
          <w:b/>
          <w:sz w:val="28"/>
        </w:rPr>
        <w:lastRenderedPageBreak/>
        <w:t>Приложение 4</w:t>
      </w:r>
    </w:p>
    <w:p w:rsidR="00A55B2F" w:rsidRDefault="00A55B2F">
      <w:pPr>
        <w:jc w:val="right"/>
        <w:rPr>
          <w:b/>
          <w:sz w:val="28"/>
        </w:rPr>
      </w:pPr>
    </w:p>
    <w:p w:rsidR="00A55B2F" w:rsidRDefault="00F316F9">
      <w:pPr>
        <w:jc w:val="center"/>
        <w:rPr>
          <w:b/>
          <w:sz w:val="28"/>
        </w:rPr>
      </w:pPr>
      <w:r>
        <w:rPr>
          <w:b/>
          <w:sz w:val="28"/>
        </w:rPr>
        <w:t>Методические указания по оформлению контрольных работ с презентац</w:t>
      </w:r>
      <w:r>
        <w:rPr>
          <w:b/>
          <w:sz w:val="28"/>
        </w:rPr>
        <w:t>и</w:t>
      </w:r>
      <w:r>
        <w:rPr>
          <w:b/>
          <w:sz w:val="28"/>
        </w:rPr>
        <w:t>ей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 xml:space="preserve">1. В ходе выполнения контрольной работы студенту необходимо подготовить презентацию, которая </w:t>
      </w:r>
      <w:r w:rsidR="00414347">
        <w:rPr>
          <w:sz w:val="28"/>
        </w:rPr>
        <w:t>будет раскрывать выбранную тему, предоставить ко</w:t>
      </w:r>
      <w:r w:rsidR="00414347">
        <w:rPr>
          <w:sz w:val="28"/>
        </w:rPr>
        <w:t>н</w:t>
      </w:r>
      <w:r w:rsidR="00414347">
        <w:rPr>
          <w:sz w:val="28"/>
        </w:rPr>
        <w:t>трольную работу в электронном виде на кафедру «Социальная педагогика».</w:t>
      </w:r>
      <w:r>
        <w:rPr>
          <w:sz w:val="28"/>
        </w:rPr>
        <w:t xml:space="preserve"> Необходимо обеспечить наличие различных средств визуализации информ</w:t>
      </w:r>
      <w:r>
        <w:rPr>
          <w:sz w:val="28"/>
        </w:rPr>
        <w:t>а</w:t>
      </w:r>
      <w:r>
        <w:rPr>
          <w:sz w:val="28"/>
        </w:rPr>
        <w:t>ции. Этапы работы над данным проектом: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2. Проработка тематики контрольной работы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3. Поиск необходимых источников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4. Структурирование информации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5. Реализация каркаса презентации</w:t>
      </w:r>
    </w:p>
    <w:p w:rsidR="00A55B2F" w:rsidRDefault="00F316F9" w:rsidP="00356E35">
      <w:pPr>
        <w:contextualSpacing/>
        <w:rPr>
          <w:sz w:val="28"/>
        </w:rPr>
      </w:pPr>
      <w:r>
        <w:rPr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contextualSpacing/>
      </w:pPr>
      <w:r>
        <w:rPr>
          <w:sz w:val="28"/>
        </w:rPr>
        <w:t>7. Рейтинговый контроль производится в форме защиты контрольной работы.</w:t>
      </w:r>
    </w:p>
    <w:sectPr w:rsidR="00A55B2F" w:rsidSect="008257CC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F6" w:rsidRDefault="00F954F6">
      <w:r>
        <w:separator/>
      </w:r>
    </w:p>
  </w:endnote>
  <w:endnote w:type="continuationSeparator" w:id="0">
    <w:p w:rsidR="00F954F6" w:rsidRDefault="00F9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F6" w:rsidRDefault="00F954F6">
      <w:r>
        <w:rPr>
          <w:color w:val="000000"/>
        </w:rPr>
        <w:separator/>
      </w:r>
    </w:p>
  </w:footnote>
  <w:footnote w:type="continuationSeparator" w:id="0">
    <w:p w:rsidR="00F954F6" w:rsidRDefault="00F95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35C338AF"/>
    <w:multiLevelType w:val="multilevel"/>
    <w:tmpl w:val="A6825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B2F"/>
    <w:rsid w:val="0003742B"/>
    <w:rsid w:val="00044E52"/>
    <w:rsid w:val="00081092"/>
    <w:rsid w:val="000C37D4"/>
    <w:rsid w:val="000E5AD2"/>
    <w:rsid w:val="00111B93"/>
    <w:rsid w:val="00151511"/>
    <w:rsid w:val="00230F9C"/>
    <w:rsid w:val="00267F0B"/>
    <w:rsid w:val="002D17E6"/>
    <w:rsid w:val="002D7403"/>
    <w:rsid w:val="00356E35"/>
    <w:rsid w:val="003F3191"/>
    <w:rsid w:val="00414347"/>
    <w:rsid w:val="00447160"/>
    <w:rsid w:val="005D54DC"/>
    <w:rsid w:val="00613A39"/>
    <w:rsid w:val="006A23E7"/>
    <w:rsid w:val="006C6647"/>
    <w:rsid w:val="007B26D9"/>
    <w:rsid w:val="007F6044"/>
    <w:rsid w:val="008257CC"/>
    <w:rsid w:val="009D5CD8"/>
    <w:rsid w:val="009F6B0F"/>
    <w:rsid w:val="00A55B2F"/>
    <w:rsid w:val="00A77956"/>
    <w:rsid w:val="00A83222"/>
    <w:rsid w:val="00C51C22"/>
    <w:rsid w:val="00CB54D8"/>
    <w:rsid w:val="00D011DB"/>
    <w:rsid w:val="00E016C3"/>
    <w:rsid w:val="00ED2F10"/>
    <w:rsid w:val="00EE7CD3"/>
    <w:rsid w:val="00F316F9"/>
    <w:rsid w:val="00F9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C3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6C3"/>
    <w:pPr>
      <w:autoSpaceDN/>
      <w:textAlignment w:val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uppressAutoHyphens/>
      <w:autoSpaceDN w:val="0"/>
      <w:spacing w:line="360" w:lineRule="auto"/>
      <w:ind w:left="720" w:firstLine="709"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uppressAutoHyphens/>
      <w:autoSpaceDN w:val="0"/>
      <w:ind w:firstLine="709"/>
      <w:jc w:val="both"/>
      <w:textAlignment w:val="baseline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uppressAutoHyphens/>
      <w:autoSpaceDN w:val="0"/>
      <w:spacing w:before="100" w:after="10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1673</Words>
  <Characters>12649</Characters>
  <Application>Microsoft Office Word</Application>
  <DocSecurity>0</DocSecurity>
  <Lines>225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2</cp:revision>
  <dcterms:created xsi:type="dcterms:W3CDTF">2025-08-19T10:43:00Z</dcterms:created>
  <dcterms:modified xsi:type="dcterms:W3CDTF">2025-08-19T10:43:00Z</dcterms:modified>
</cp:coreProperties>
</file>